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2A" w:rsidRPr="00964A2A" w:rsidRDefault="00964A2A" w:rsidP="00964A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sz w:val="24"/>
          <w:szCs w:val="24"/>
        </w:rPr>
        <w:t>Plan de acțiune pentru integrarea copiii cu dizabilități-Sindromul Down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   ,,Școlile trebuie să primească toți copiii, indiferent de starea lor fizică, intelectuală, socială,   emoțională, lingvistică sau oricare alta."  (Conferința de la Salamanca-1994)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 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    Școala  incluzivă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 reprezintă mijlocul cel mai eficient de combatere a atitudinilor de discriminare. Deci, școala incluzivă trebuie să  recunoască și să răspundă nevoilor diferite ale elevilor, ținând cont  de existența atât a unor stiluri diferite de învățare cât și a unor  ritmuri  diferite. Educația de calitate pentru toți se asigură prin intermediul unor curriculum- uri adecvate, a unor strategii de predare, a unui anumit mod de utilizare a resurselor și parteneriatelor cu comunitățile din care fac parte.Astfel,se impune întocmirea unui plan de acțiune pentru crearea unui mediu de învățare incluziv eficient, în vederea integrării în școala de masă a copiilor cu dizabilități/CES, de către cadrele didactice, pentru acțiuni colaborative în trinomul școală/cadre didactice –elevi–părinți/familie, având în vedere: egalitatea șanselor, diversitatea, accesul, participarea, dezvoltarea relațiilor, respectarea demnității, posibilitatea de a face alegeri și profilul de formare al absolventului de gimnaziu.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Aici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fac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referire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Sindrom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Down.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 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Sindrom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Down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prezintă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dificultăți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anume:dificultăți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planul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operațiilor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gândirii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dificultăți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modul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aplicare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cunoștințelor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situații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noi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putere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concentrare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scăzută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dificultăți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ordonare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ritm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scăzut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achizițiilor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abilități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motrice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scăzute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probleme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comunicare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limbaj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.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nu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uităm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niciodată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este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o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persoană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veselă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sociabilă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foarte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afectuoasă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.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,, Când un miracol nu-i posibil pentru tine , poți fi un miracol pentru altcineva" (Nick Vujici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c)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Elevi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Idei de activități:</w:t>
      </w:r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activităţi scurte, variate, în care exercițiul de 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,,spargere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 gheții" să  motiveze și să  implice  elevul</w:t>
      </w:r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fișe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pentru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diferențiere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aînvățării</w:t>
      </w:r>
      <w:proofErr w:type="spellEnd"/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lastRenderedPageBreak/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sarcini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adaptate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nivel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dificultate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cantitate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formularea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instrucțiunilor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într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-un mod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accesibil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baza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soft-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educaționale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specific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pentru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CES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implică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jocul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didactic:Descifrează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codul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rebus, puzzle,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jetoane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, domino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 jocuri de integrare în colectiv și de cunoaștere a copilului cu Down: Pânza încrederii, Schimbă locul!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 tehnici dramatice pentru dezvoltarea abilităților sociale și de comunicare: Ascultă lumea,Tot ca tine sunt și eu!, Bingo!, Statuile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 vizionarea unor filmulețe educative/a unor povești terapeutice, în funcție de cazul de dizabilitate: Povestea celor trei ursuleți, Vulpea și barza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 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activități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de terapie educațională (meloterapia, ludoterapia)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concursuri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artistice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sportive,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destinate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CES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Strategii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individualizată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individualizarea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secvențe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lecție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crearea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climat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afectiv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confortabil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așezarea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potrivită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-eventual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prima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bancă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cu un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coleg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ajută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nevoie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(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nu fie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agitație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tratarea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diferențiată:ierarhizarea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distribuirea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eficientă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sarcinilor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temelor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eșalonarea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resurselor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timp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corespunzătoare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pentru:studiu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individual/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sprijin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permanent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sarcinilor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apreciere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pozitivă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fără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dependență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valorizarea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fiecare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oră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(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câte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este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nevoie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cooperare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:în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perechi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echipă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(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cooperare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nu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competiție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-utilizarea metodelor activ-participative adaptate nevoilor elevului: Ciorchinele,Turul galeriei, Brainstormingul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>-utilizarea manualelor digitale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extrașcolare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pentru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captarea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interesului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 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Resurse: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tabla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creta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colorată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flipchart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markere,planșe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tematice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,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cărți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/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reviste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imagini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planșe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tematice,fișe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diferențiate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portofoliul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manual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,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mijloace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predare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multisenzoriale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distractive, cu material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concret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intuitive,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mijloace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TIC:calculator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videoproiector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tabletă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CD-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platform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educaționale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destinate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CES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Evaluare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adaptată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stilului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ritmului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observarea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sistematică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comportamentului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aprecieri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verbale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evaluări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orale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scrise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diferentiate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(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sprijin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indicații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evaluarea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intercolegială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perechi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fișă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observare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integrării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colectiv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fișă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observare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progresului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portofoliul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 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probe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practice-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abilități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practice: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Mâini îndemânatice, Păpuși din pungi de hârtie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Părinți</w:t>
      </w:r>
      <w:proofErr w:type="spellEnd"/>
      <w:proofErr w:type="gram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 ,,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Copilul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tău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are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ceva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prețios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dat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lumii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!"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Comunicarea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implicarea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părinților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alături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cadrele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didactice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conduc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pași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importanți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motivarea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progrese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ale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.</w:t>
      </w:r>
      <w:proofErr w:type="gram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Idei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activități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față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față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consiliere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dialog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empatic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constructive:,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,Copilul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acesta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nu 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vina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calea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!"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lastRenderedPageBreak/>
        <w:t>-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discuții cu părinții elevului în vederea cunoașterii acestuia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stabilirea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unui </w:t>
      </w: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plan comun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 privind colaborarea eficientă părinte- cadru didactic: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prezentarea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urmează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derulate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consiliere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părinții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să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răspundă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nevoilor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acestuia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întâlniri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schimb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experiență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alți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părinți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confruntați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aceleași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probleme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-activități comune cu invitați de specialitate: psiholog, terapeut, consilier școlar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-activități comune: părinți ai copilului în cauză- elevi-profesori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-activități realizate la clasă: elevi- părinți ai copilului în cauză-diriginte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-ateliere de lucru, de creație alături de copil: Desenați împreună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-activități la bibliotecă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-realizarea unor proiecte educaționale:,, Șanse egale-Părinți și profesori- echipă pentru binele copiilor"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participarea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părinților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diverse: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întruniri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dezbateri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-excursii, vizite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Strategii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întâlniri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individuale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dezbateri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tematice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Incluziunea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mese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rotunde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tehnici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comunicare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dezvoltare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atitudinii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față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valorificarea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creativității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tehnici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antistres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conștientizarea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acceptarea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capacității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copilului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generarea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emoțiilor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încurajarea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participării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acțiune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lastRenderedPageBreak/>
        <w:t>Resurse</w:t>
      </w:r>
      <w:proofErr w:type="spellEnd"/>
      <w:proofErr w:type="gram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GB"/>
        </w:rPr>
        <w:t>: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pliante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reviste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specialitate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PPT-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tematice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platform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educaționale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destinate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CES,laptop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/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tableta,consilier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terapeut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psiholog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Evaluare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observarea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sistematică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aprecieri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verbale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chestionarul</w:t>
      </w:r>
      <w:proofErr w:type="spellEnd"/>
      <w:proofErr w:type="gram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Cadre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didactice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    La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începutul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anului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prezint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colegilor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profesori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mod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deosebit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situația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M.P.,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necesită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alt tip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abordare.Acest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este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important,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deoarece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trebuie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trimise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aprobare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programul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intervenție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personalizat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proiectele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curriculum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adaptat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fiecare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disciplină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apoi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pregătirea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învățare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mijloacele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modul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desfășurare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acest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elev.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Idei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activități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prezentare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caz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cadrul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Consiliului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clasei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</w:rPr>
        <w:t>î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ntocmirea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plan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intervenție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profesorii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predau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colaborarea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consilierul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interasistențe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profesorul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clasă-părinte-consilierulșcolar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părinți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profesori-elevi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(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vostru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nostru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discuții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periodice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profesorii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predau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clasă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dezbateri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cadrul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comisiilor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metodice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având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tematică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Integrarea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CES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predarea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echipă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consilierul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școlar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(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acesta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veni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ore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-l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ajuta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lastRenderedPageBreak/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participarea</w:t>
      </w:r>
      <w:proofErr w:type="spellEnd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 la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simpozioane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conferințe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cursuri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formare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vizând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integrarea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cerințe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educative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speciale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;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implicarea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proiecte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care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să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elimine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/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diminueze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acțiunile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bullying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realizarea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proiecte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educaț</w:t>
      </w:r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ionale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 cu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specific: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Integrarea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elevilor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CES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Strategii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învăț</w:t>
      </w:r>
      <w:proofErr w:type="gram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</w:t>
      </w:r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(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alți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colegi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):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adaptarea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activității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la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nevoile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copilului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adaptarea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curriculară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utilizarea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programelor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educaționale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sprijin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diversitatea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materialului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prezentat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mese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rotunde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fr-CH"/>
        </w:rPr>
        <w:t>,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 workshop-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fr-CH"/>
        </w:rPr>
        <w:t>,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dezbateri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/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discuții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anumite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teme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sau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situații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întâlnite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studii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caz,promovarea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unor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exemple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bună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practică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interasistențe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fr-CH"/>
        </w:rPr>
        <w:t>-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lucru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în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echipă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- 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colaborarea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cu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anumite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ONG-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uri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implicarea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comunității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locale</w:t>
      </w:r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Resurse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 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lucrări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de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specialitate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pliante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reviste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afișe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informative,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tehnologii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informatizate</w:t>
      </w:r>
      <w:proofErr w:type="spellEnd"/>
    </w:p>
    <w:p w:rsidR="00964A2A" w:rsidRPr="00964A2A" w:rsidRDefault="00964A2A" w:rsidP="00964A2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Evaluare</w:t>
      </w:r>
      <w:proofErr w:type="spellEnd"/>
      <w:r w:rsidRPr="00964A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val="en-US"/>
        </w:rPr>
        <w:t>: </w:t>
      </w:r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         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aprecieri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verbale</w:t>
      </w:r>
      <w:proofErr w:type="spellEnd"/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         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chestionare</w:t>
      </w:r>
      <w:proofErr w:type="spellEnd"/>
      <w:proofErr w:type="gramEnd"/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-          </w:t>
      </w:r>
      <w:proofErr w:type="spellStart"/>
      <w:proofErr w:type="gram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portofoliul</w:t>
      </w:r>
      <w:proofErr w:type="spellEnd"/>
      <w:proofErr w:type="gram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cadrului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didactic</w:t>
      </w:r>
    </w:p>
    <w:p w:rsidR="00964A2A" w:rsidRPr="00964A2A" w:rsidRDefault="00964A2A" w:rsidP="00964A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gram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,,</w:t>
      </w:r>
      <w:proofErr w:type="gram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Dăruirea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și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iubirea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sunt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calități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care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dau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greutate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>actului</w:t>
      </w:r>
      <w:proofErr w:type="spellEnd"/>
      <w:r w:rsidRPr="00964A2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/>
        </w:rPr>
        <w:t xml:space="preserve"> didactic"</w:t>
      </w:r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 (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Constantin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 xml:space="preserve"> </w:t>
      </w:r>
      <w:proofErr w:type="spellStart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Cucoș</w:t>
      </w:r>
      <w:proofErr w:type="spellEnd"/>
      <w:r w:rsidRPr="00964A2A">
        <w:rPr>
          <w:rFonts w:ascii="Times New Roman" w:eastAsia="Times New Roman" w:hAnsi="Times New Roman" w:cs="Times New Roman"/>
          <w:color w:val="373A3C"/>
          <w:sz w:val="24"/>
          <w:szCs w:val="24"/>
          <w:lang w:val="en-US"/>
        </w:rPr>
        <w:t>)</w:t>
      </w:r>
    </w:p>
    <w:p w:rsidR="006A52C4" w:rsidRPr="00964A2A" w:rsidRDefault="006A52C4" w:rsidP="00964A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52C4" w:rsidRPr="0096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4A2A"/>
    <w:rsid w:val="006A52C4"/>
    <w:rsid w:val="0096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964A2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4A2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4A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499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4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single" w:sz="18" w:space="8" w:color="F3F3F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2021-05-26T06:45:00Z</dcterms:created>
  <dcterms:modified xsi:type="dcterms:W3CDTF">2021-05-26T06:46:00Z</dcterms:modified>
</cp:coreProperties>
</file>